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D59C9" w14:textId="1133B172" w:rsidR="00EC3154" w:rsidRPr="001770B1" w:rsidRDefault="00AB074C" w:rsidP="001770B1">
      <w:pPr>
        <w:jc w:val="center"/>
        <w:rPr>
          <w:b/>
          <w:sz w:val="28"/>
        </w:rPr>
      </w:pPr>
      <w:r>
        <w:rPr>
          <w:b/>
          <w:sz w:val="28"/>
        </w:rPr>
        <w:t xml:space="preserve">Intersession Work:  between sessions </w:t>
      </w:r>
      <w:r w:rsidR="004F1EC2">
        <w:rPr>
          <w:b/>
          <w:sz w:val="28"/>
        </w:rPr>
        <w:t>3</w:t>
      </w:r>
      <w:r>
        <w:rPr>
          <w:b/>
          <w:sz w:val="28"/>
        </w:rPr>
        <w:t xml:space="preserve"> and </w:t>
      </w:r>
      <w:r w:rsidR="004F1EC2">
        <w:rPr>
          <w:b/>
          <w:sz w:val="28"/>
        </w:rPr>
        <w:t>4</w:t>
      </w:r>
    </w:p>
    <w:p w14:paraId="399A707A" w14:textId="77777777" w:rsidR="001770B1" w:rsidRDefault="001770B1"/>
    <w:p w14:paraId="74D9C6EB" w14:textId="072B1C43" w:rsidR="001770B1" w:rsidRDefault="00AB074C" w:rsidP="001770B1">
      <w:pPr>
        <w:jc w:val="center"/>
      </w:pPr>
      <w:r>
        <w:t xml:space="preserve">Please complete the following before the next session. </w:t>
      </w:r>
      <w:r w:rsidR="00AE00D0">
        <w:t xml:space="preserve">Note these in your journal. </w:t>
      </w:r>
      <w:r w:rsidR="00507DE9">
        <w:t xml:space="preserve">Email me with any questions or concerns </w:t>
      </w:r>
      <w:hyperlink r:id="rId8" w:history="1">
        <w:r w:rsidR="00EE3258">
          <w:rPr>
            <w:rStyle w:val="Hyperlink"/>
          </w:rPr>
          <w:t>jodi@orangegroveconsulting.com</w:t>
        </w:r>
      </w:hyperlink>
      <w:r w:rsidR="002F0CA2">
        <w:t xml:space="preserve">. This will take you around 4 – 6 hours. Feel free to use </w:t>
      </w:r>
      <w:r w:rsidR="009549A7">
        <w:t>more time if you would like to detail it even further.</w:t>
      </w:r>
      <w:r w:rsidR="002F0CA2">
        <w:t xml:space="preserve"> </w:t>
      </w:r>
    </w:p>
    <w:p w14:paraId="61B113F7" w14:textId="77777777" w:rsidR="001770B1" w:rsidRDefault="001770B1"/>
    <w:tbl>
      <w:tblPr>
        <w:tblW w:w="991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58"/>
        <w:gridCol w:w="7560"/>
      </w:tblGrid>
      <w:tr w:rsidR="001770B1" w:rsidRPr="00D571F2" w14:paraId="79192FD1" w14:textId="77777777" w:rsidTr="00611DCB"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7C877" w14:textId="77777777" w:rsidR="001770B1" w:rsidRPr="00D571F2" w:rsidRDefault="001770B1" w:rsidP="00EE3258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>Area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B25FFB" w14:textId="77777777" w:rsidR="001770B1" w:rsidRPr="00D571F2" w:rsidRDefault="00535FDA" w:rsidP="00D571F2">
            <w:pPr>
              <w:spacing w:before="120" w:after="120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Tasks</w:t>
            </w:r>
          </w:p>
        </w:tc>
      </w:tr>
      <w:tr w:rsidR="001770B1" w:rsidRPr="00D571F2" w14:paraId="7AC05C01" w14:textId="77777777" w:rsidTr="0044346A">
        <w:tc>
          <w:tcPr>
            <w:tcW w:w="2358" w:type="dxa"/>
            <w:shd w:val="clear" w:color="auto" w:fill="auto"/>
          </w:tcPr>
          <w:p w14:paraId="66BF9CA0" w14:textId="15BBA105" w:rsidR="001770B1" w:rsidRPr="00D571F2" w:rsidRDefault="00EC103B" w:rsidP="004F1EC2">
            <w:pPr>
              <w:numPr>
                <w:ilvl w:val="0"/>
                <w:numId w:val="10"/>
              </w:numPr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External Bias and pushback</w:t>
            </w:r>
          </w:p>
        </w:tc>
        <w:tc>
          <w:tcPr>
            <w:tcW w:w="7560" w:type="dxa"/>
            <w:shd w:val="clear" w:color="auto" w:fill="auto"/>
          </w:tcPr>
          <w:p w14:paraId="3D79CB9C" w14:textId="51BC2EF1" w:rsidR="001770B1" w:rsidRDefault="00EC103B" w:rsidP="00D571F2">
            <w:pPr>
              <w:spacing w:before="120" w:after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Explore the process and see what external and internal resistance </w:t>
            </w:r>
            <w:r w:rsidRPr="00D571F2">
              <w:rPr>
                <w:color w:val="000000"/>
              </w:rPr>
              <w:t>arises</w:t>
            </w:r>
            <w:r>
              <w:rPr>
                <w:color w:val="000000"/>
              </w:rPr>
              <w:t xml:space="preserve">. How can you deal with it? </w:t>
            </w:r>
          </w:p>
          <w:p w14:paraId="1F48B17E" w14:textId="77777777" w:rsidR="004F1EC2" w:rsidRDefault="004F1EC2" w:rsidP="004F1EC2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Prepare for pushback when you speak up. What happens?</w:t>
            </w:r>
          </w:p>
          <w:p w14:paraId="1445CD03" w14:textId="4B3B1240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How are you reacting emotionally? What can help you manage or reinforce this? </w:t>
            </w:r>
          </w:p>
          <w:p w14:paraId="3437F41F" w14:textId="77777777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Practice direct speak. </w:t>
            </w:r>
          </w:p>
          <w:p w14:paraId="5FE8A2F4" w14:textId="7350162C" w:rsidR="00EC103B" w:rsidRPr="00EC103B" w:rsidRDefault="004F1EC2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Renegotiate impactful expectations</w:t>
            </w:r>
            <w:r w:rsidR="00EC103B">
              <w:rPr>
                <w:color w:val="000000"/>
              </w:rPr>
              <w:t xml:space="preserve">  </w:t>
            </w:r>
          </w:p>
        </w:tc>
      </w:tr>
      <w:tr w:rsidR="004F1EC2" w:rsidRPr="00D571F2" w14:paraId="3E5E6F0C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71332681" w14:textId="47D6F42E" w:rsidR="004F1EC2" w:rsidRPr="004F1EC2" w:rsidRDefault="004F1EC2" w:rsidP="004F1EC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Promote your value 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1C6253DE" w14:textId="77777777" w:rsidR="004F1EC2" w:rsidRDefault="004F1EC2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Follow your plan and promote your value</w:t>
            </w:r>
          </w:p>
          <w:p w14:paraId="525913EE" w14:textId="1C1FF403" w:rsidR="004F1EC2" w:rsidRDefault="004F1EC2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What do you notice?</w:t>
            </w:r>
          </w:p>
        </w:tc>
      </w:tr>
      <w:tr w:rsidR="0044346A" w:rsidRPr="00D571F2" w14:paraId="0BFAC7FA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4291DA5A" w14:textId="0338263F" w:rsidR="0044346A" w:rsidRPr="004F1EC2" w:rsidRDefault="00EC103B" w:rsidP="004F1EC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b/>
                <w:bCs/>
                <w:color w:val="000000"/>
              </w:rPr>
            </w:pPr>
            <w:r w:rsidRPr="004F1EC2">
              <w:rPr>
                <w:b/>
                <w:bCs/>
                <w:color w:val="000000"/>
              </w:rPr>
              <w:t>Go</w:t>
            </w:r>
            <w:r w:rsidR="0044346A" w:rsidRPr="004F1EC2">
              <w:rPr>
                <w:b/>
                <w:bCs/>
                <w:color w:val="000000"/>
              </w:rPr>
              <w:t>al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0114CFC7" w14:textId="77777777" w:rsidR="00EC103B" w:rsidRDefault="00EC103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Continue to work on your overarching development goal</w:t>
            </w:r>
          </w:p>
          <w:p w14:paraId="3E102225" w14:textId="72951771" w:rsidR="00F81BFB" w:rsidRPr="00D571F2" w:rsidRDefault="00EC103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What are you noticing? </w:t>
            </w:r>
            <w:r w:rsidR="00F81BFB">
              <w:rPr>
                <w:color w:val="000000"/>
              </w:rPr>
              <w:t xml:space="preserve"> </w:t>
            </w:r>
          </w:p>
        </w:tc>
      </w:tr>
      <w:tr w:rsidR="004F1EC2" w:rsidRPr="00D571F2" w14:paraId="7E71D4CD" w14:textId="77777777" w:rsidTr="004F1EC2">
        <w:tc>
          <w:tcPr>
            <w:tcW w:w="2358" w:type="dxa"/>
            <w:shd w:val="clear" w:color="auto" w:fill="auto"/>
          </w:tcPr>
          <w:p w14:paraId="0860147A" w14:textId="3C66689C" w:rsidR="004F1EC2" w:rsidRPr="004F1EC2" w:rsidRDefault="004F1EC2" w:rsidP="004F1EC2">
            <w:pPr>
              <w:pStyle w:val="ListParagraph"/>
              <w:numPr>
                <w:ilvl w:val="0"/>
                <w:numId w:val="10"/>
              </w:numPr>
              <w:spacing w:before="120" w:after="120"/>
              <w:jc w:val="left"/>
              <w:rPr>
                <w:b/>
                <w:bCs/>
                <w:color w:val="000000"/>
              </w:rPr>
            </w:pPr>
            <w:r w:rsidRPr="004F1EC2">
              <w:rPr>
                <w:b/>
                <w:bCs/>
                <w:color w:val="000000"/>
              </w:rPr>
              <w:t>Prepare for Abilitie Finance Simulation</w:t>
            </w:r>
          </w:p>
        </w:tc>
        <w:tc>
          <w:tcPr>
            <w:tcW w:w="7560" w:type="dxa"/>
            <w:shd w:val="clear" w:color="auto" w:fill="auto"/>
          </w:tcPr>
          <w:p w14:paraId="453CB781" w14:textId="29D13796" w:rsidR="004F1EC2" w:rsidRPr="004F1EC2" w:rsidRDefault="004F1EC2" w:rsidP="004F1EC2">
            <w:pPr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Ensure you have a baseline understanding of the following f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inancial concepts to ensure success in the busines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s simulation in next session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:</w:t>
            </w:r>
          </w:p>
          <w:p w14:paraId="4558ADE6" w14:textId="77777777" w:rsidR="004F1EC2" w:rsidRPr="004F1EC2" w:rsidRDefault="004F1EC2" w:rsidP="004F1EC2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Familiarity with Basic Financial Terms</w:t>
            </w:r>
          </w:p>
          <w:p w14:paraId="761428D1" w14:textId="77777777" w:rsidR="004F1EC2" w:rsidRPr="004F1EC2" w:rsidRDefault="004F1EC2" w:rsidP="004F1EC2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Understanding of the Financial Statements</w:t>
            </w:r>
          </w:p>
          <w:p w14:paraId="7E6ED913" w14:textId="77777777" w:rsidR="004F1EC2" w:rsidRPr="004F1EC2" w:rsidRDefault="004F1EC2" w:rsidP="004F1EC2">
            <w:pPr>
              <w:numPr>
                <w:ilvl w:val="1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Income Statement / P&amp;L</w:t>
            </w:r>
          </w:p>
          <w:p w14:paraId="7D8AB78B" w14:textId="77777777" w:rsidR="004F1EC2" w:rsidRPr="004F1EC2" w:rsidRDefault="004F1EC2" w:rsidP="004F1EC2">
            <w:pPr>
              <w:numPr>
                <w:ilvl w:val="1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Balance Sheet</w:t>
            </w:r>
          </w:p>
          <w:p w14:paraId="4DB04343" w14:textId="77777777" w:rsidR="004F1EC2" w:rsidRPr="004F1EC2" w:rsidRDefault="004F1EC2" w:rsidP="004F1EC2">
            <w:pPr>
              <w:numPr>
                <w:ilvl w:val="1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Cash Flow Statement</w:t>
            </w:r>
          </w:p>
          <w:p w14:paraId="7E112D3D" w14:textId="77777777" w:rsidR="004F1EC2" w:rsidRPr="004F1EC2" w:rsidRDefault="004F1EC2" w:rsidP="004F1EC2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Basic Investment Analysis: Breakeven Analysis </w:t>
            </w:r>
          </w:p>
          <w:p w14:paraId="68FE4A35" w14:textId="1499D526" w:rsidR="004F1EC2" w:rsidRPr="004F1EC2" w:rsidRDefault="004F1EC2" w:rsidP="004F1EC2">
            <w:pPr>
              <w:ind w:left="0" w:firstLine="0"/>
              <w:jc w:val="left"/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</w:pPr>
            <w:r w:rsidRPr="004F1EC2">
              <w:rPr>
                <w:rFonts w:asciiTheme="minorHAnsi" w:eastAsia="Times New Roman" w:hAnsiTheme="minorHAnsi"/>
                <w:b/>
                <w:bCs/>
                <w:color w:val="000000"/>
                <w:sz w:val="21"/>
                <w:szCs w:val="18"/>
              </w:rPr>
              <w:t>Note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: All of these topics are covered in </w:t>
            </w:r>
            <w:r w:rsidRPr="004F1EC2">
              <w:rPr>
                <w:rFonts w:asciiTheme="minorHAnsi" w:eastAsia="Times New Roman" w:hAnsiTheme="minorHAnsi"/>
                <w:i/>
                <w:iCs/>
                <w:color w:val="000000"/>
                <w:sz w:val="21"/>
                <w:szCs w:val="18"/>
              </w:rPr>
              <w:t>Chapter 1: Back to Business Basics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 and </w:t>
            </w:r>
            <w:r w:rsidRPr="004F1EC2">
              <w:rPr>
                <w:rFonts w:asciiTheme="minorHAnsi" w:eastAsia="Times New Roman" w:hAnsiTheme="minorHAnsi"/>
                <w:i/>
                <w:iCs/>
                <w:color w:val="000000"/>
                <w:sz w:val="21"/>
                <w:szCs w:val="18"/>
              </w:rPr>
              <w:t>Chapter 2: Reading Financial Statements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 of Fluent in Finance which is a two-hour time commitment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 xml:space="preserve"> and is available from your Abilitie login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 xml:space="preserve">. By completing the first two modules, participants will be prepared to make the simulation day a valuable part of the CREW experience. 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 xml:space="preserve">You 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 xml:space="preserve">have access to the full course for one year from their registration date. </w:t>
            </w:r>
            <w:r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 xml:space="preserve">You </w:t>
            </w:r>
            <w:r w:rsidRPr="004F1EC2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are welcome to do the full course prior to the Business Challenge experience or revisit the additional chapters at any point throughout 2018. </w:t>
            </w:r>
            <w:r w:rsidR="00ED2B19">
              <w:rPr>
                <w:rFonts w:asciiTheme="minorHAnsi" w:eastAsia="Times New Roman" w:hAnsiTheme="minorHAnsi"/>
                <w:color w:val="000000"/>
                <w:sz w:val="21"/>
                <w:szCs w:val="18"/>
              </w:rPr>
              <w:t>ΩΩ</w:t>
            </w:r>
            <w:bookmarkStart w:id="0" w:name="_GoBack"/>
            <w:bookmarkEnd w:id="0"/>
          </w:p>
        </w:tc>
      </w:tr>
    </w:tbl>
    <w:p w14:paraId="2ED66FD4" w14:textId="1673C68F" w:rsidR="00AE00D0" w:rsidRDefault="00AE00D0"/>
    <w:p w14:paraId="08BE4033" w14:textId="2345483E" w:rsidR="00A04115" w:rsidRDefault="00A04115" w:rsidP="00294251">
      <w:pPr>
        <w:jc w:val="center"/>
      </w:pPr>
    </w:p>
    <w:sectPr w:rsidR="00A04115" w:rsidSect="00535FDA">
      <w:footerReference w:type="default" r:id="rId9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1145" w14:textId="77777777" w:rsidR="0047307D" w:rsidRDefault="0047307D" w:rsidP="001770B1">
      <w:r>
        <w:separator/>
      </w:r>
    </w:p>
  </w:endnote>
  <w:endnote w:type="continuationSeparator" w:id="0">
    <w:p w14:paraId="3A63EBD4" w14:textId="77777777" w:rsidR="0047307D" w:rsidRDefault="0047307D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14E3" w14:textId="74ED917D" w:rsidR="00A72DB1" w:rsidRPr="00A72DB1" w:rsidRDefault="00BF200D" w:rsidP="00D571F2">
    <w:pPr>
      <w:pStyle w:val="Footer"/>
      <w:tabs>
        <w:tab w:val="clear" w:pos="4680"/>
      </w:tabs>
      <w:ind w:left="3420" w:right="-450" w:hanging="4410"/>
      <w:rPr>
        <w:i/>
        <w:color w:val="7F7F7F"/>
        <w:sz w:val="18"/>
        <w:szCs w:val="18"/>
      </w:rPr>
    </w:pPr>
    <w:r>
      <w:rPr>
        <w:rFonts w:cs="Calibri"/>
        <w:i/>
        <w:noProof/>
        <w:color w:val="7F7F7F"/>
        <w:sz w:val="18"/>
        <w:szCs w:val="18"/>
      </w:rPr>
      <w:drawing>
        <wp:anchor distT="0" distB="0" distL="114300" distR="114300" simplePos="0" relativeHeight="251662336" behindDoc="0" locked="0" layoutInCell="1" allowOverlap="1" wp14:anchorId="34871A25" wp14:editId="604781F9">
          <wp:simplePos x="0" y="0"/>
          <wp:positionH relativeFrom="column">
            <wp:posOffset>6006465</wp:posOffset>
          </wp:positionH>
          <wp:positionV relativeFrom="paragraph">
            <wp:posOffset>92710</wp:posOffset>
          </wp:positionV>
          <wp:extent cx="561975" cy="408305"/>
          <wp:effectExtent l="0" t="0" r="0" b="0"/>
          <wp:wrapTight wrapText="bothSides">
            <wp:wrapPolygon edited="0">
              <wp:start x="0" y="0"/>
              <wp:lineTo x="0" y="20156"/>
              <wp:lineTo x="20502" y="20156"/>
              <wp:lineTo x="2050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G_Blac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FDA">
      <w:rPr>
        <w:rFonts w:cs="Calibri"/>
        <w:i/>
        <w:color w:val="7F7F7F"/>
        <w:sz w:val="18"/>
        <w:szCs w:val="18"/>
      </w:rPr>
      <w:t xml:space="preserve">      </w:t>
    </w:r>
    <w:r w:rsidR="00FD6D52">
      <w:rPr>
        <w:noProof/>
      </w:rPr>
      <w:drawing>
        <wp:anchor distT="0" distB="0" distL="114300" distR="114300" simplePos="0" relativeHeight="251659264" behindDoc="0" locked="0" layoutInCell="1" allowOverlap="1" wp14:anchorId="0E442BB7" wp14:editId="5CEBDE23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D52">
      <w:rPr>
        <w:noProof/>
      </w:rPr>
      <w:drawing>
        <wp:anchor distT="0" distB="0" distL="114300" distR="114300" simplePos="0" relativeHeight="251661312" behindDoc="0" locked="0" layoutInCell="1" allowOverlap="1" wp14:anchorId="684DBB95" wp14:editId="575CDE64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DB1" w:rsidRPr="00323843">
      <w:rPr>
        <w:i/>
        <w:color w:val="7F7F7F"/>
        <w:sz w:val="18"/>
        <w:szCs w:val="18"/>
      </w:rPr>
      <w:tab/>
    </w:r>
    <w:r w:rsidR="00A72DB1">
      <w:rPr>
        <w:i/>
        <w:color w:val="7F7F7F"/>
        <w:sz w:val="18"/>
        <w:szCs w:val="18"/>
      </w:rPr>
      <w:t xml:space="preserve">The </w:t>
    </w:r>
    <w:r w:rsidR="00A72DB1" w:rsidRPr="00323843">
      <w:rPr>
        <w:i/>
        <w:color w:val="7F7F7F"/>
        <w:sz w:val="18"/>
        <w:szCs w:val="18"/>
      </w:rPr>
      <w:t>Leadership</w:t>
    </w:r>
    <w:r w:rsidR="00A72DB1">
      <w:rPr>
        <w:i/>
        <w:color w:val="7F7F7F"/>
        <w:sz w:val="18"/>
        <w:szCs w:val="18"/>
      </w:rPr>
      <w:t xml:space="preserve"> Academy </w:t>
    </w:r>
    <w:r w:rsidR="00EE3258">
      <w:rPr>
        <w:i/>
        <w:color w:val="7F7F7F"/>
        <w:sz w:val="18"/>
        <w:szCs w:val="18"/>
      </w:rPr>
      <w:t>2017</w:t>
    </w:r>
    <w:r w:rsidR="00D571F2" w:rsidRPr="00323843">
      <w:rPr>
        <w:i/>
        <w:color w:val="7F7F7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B8163" w14:textId="77777777" w:rsidR="0047307D" w:rsidRDefault="0047307D" w:rsidP="001770B1">
      <w:r>
        <w:separator/>
      </w:r>
    </w:p>
  </w:footnote>
  <w:footnote w:type="continuationSeparator" w:id="0">
    <w:p w14:paraId="06B99710" w14:textId="77777777" w:rsidR="0047307D" w:rsidRDefault="0047307D" w:rsidP="001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0C6B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83870"/>
    <w:multiLevelType w:val="hybridMultilevel"/>
    <w:tmpl w:val="C7DE3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C854EA"/>
    <w:multiLevelType w:val="hybridMultilevel"/>
    <w:tmpl w:val="B93C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D13437"/>
    <w:multiLevelType w:val="hybridMultilevel"/>
    <w:tmpl w:val="F814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A733B"/>
    <w:multiLevelType w:val="multilevel"/>
    <w:tmpl w:val="0120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A3123"/>
    <w:multiLevelType w:val="hybridMultilevel"/>
    <w:tmpl w:val="918080C6"/>
    <w:lvl w:ilvl="0" w:tplc="F2F43130">
      <w:start w:val="1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E32B4"/>
    <w:multiLevelType w:val="hybridMultilevel"/>
    <w:tmpl w:val="E15287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5F1E533C"/>
    <w:multiLevelType w:val="hybridMultilevel"/>
    <w:tmpl w:val="BF58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A7DF4"/>
    <w:multiLevelType w:val="hybridMultilevel"/>
    <w:tmpl w:val="EB2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26EDE"/>
    <w:multiLevelType w:val="hybridMultilevel"/>
    <w:tmpl w:val="0B4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1"/>
    <w:rsid w:val="000101E5"/>
    <w:rsid w:val="00061A68"/>
    <w:rsid w:val="00067BAA"/>
    <w:rsid w:val="001438D3"/>
    <w:rsid w:val="00146B12"/>
    <w:rsid w:val="00172831"/>
    <w:rsid w:val="001770B1"/>
    <w:rsid w:val="00253E04"/>
    <w:rsid w:val="00277B6A"/>
    <w:rsid w:val="00294251"/>
    <w:rsid w:val="002C69B6"/>
    <w:rsid w:val="002F0CA2"/>
    <w:rsid w:val="00320C50"/>
    <w:rsid w:val="003442B9"/>
    <w:rsid w:val="00373000"/>
    <w:rsid w:val="00384999"/>
    <w:rsid w:val="003E756C"/>
    <w:rsid w:val="0044346A"/>
    <w:rsid w:val="0045543B"/>
    <w:rsid w:val="00464F09"/>
    <w:rsid w:val="0047307D"/>
    <w:rsid w:val="004C3083"/>
    <w:rsid w:val="004F1EC2"/>
    <w:rsid w:val="00507DE9"/>
    <w:rsid w:val="00535FDA"/>
    <w:rsid w:val="00545C29"/>
    <w:rsid w:val="00611DCB"/>
    <w:rsid w:val="006D45AC"/>
    <w:rsid w:val="00781CBB"/>
    <w:rsid w:val="007F1348"/>
    <w:rsid w:val="0081310C"/>
    <w:rsid w:val="00820A22"/>
    <w:rsid w:val="0089705C"/>
    <w:rsid w:val="008B3A2D"/>
    <w:rsid w:val="008F40C0"/>
    <w:rsid w:val="00920FBF"/>
    <w:rsid w:val="009549A7"/>
    <w:rsid w:val="00A04115"/>
    <w:rsid w:val="00A45007"/>
    <w:rsid w:val="00A72DB1"/>
    <w:rsid w:val="00AB074C"/>
    <w:rsid w:val="00AE00D0"/>
    <w:rsid w:val="00AF0210"/>
    <w:rsid w:val="00B01F7A"/>
    <w:rsid w:val="00BE1BFE"/>
    <w:rsid w:val="00BF200D"/>
    <w:rsid w:val="00C20156"/>
    <w:rsid w:val="00CA052B"/>
    <w:rsid w:val="00CE6EAF"/>
    <w:rsid w:val="00D32A10"/>
    <w:rsid w:val="00D571F2"/>
    <w:rsid w:val="00DC2EDF"/>
    <w:rsid w:val="00E846CF"/>
    <w:rsid w:val="00EC103B"/>
    <w:rsid w:val="00EC3154"/>
    <w:rsid w:val="00ED2B19"/>
    <w:rsid w:val="00EE3258"/>
    <w:rsid w:val="00EE76E1"/>
    <w:rsid w:val="00F01ADC"/>
    <w:rsid w:val="00F01F93"/>
    <w:rsid w:val="00F522C3"/>
    <w:rsid w:val="00F71015"/>
    <w:rsid w:val="00F81BFB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BF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  <w:pPr>
      <w:ind w:left="346" w:hanging="274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0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70B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770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7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di@orangegroveconsulting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5870-1D35-2249-B74F-240645FE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mailto:jodi@orangegroveconsulting.com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Jodi's PC</dc:creator>
  <cp:keywords/>
  <cp:lastModifiedBy>Jodi Detjen</cp:lastModifiedBy>
  <cp:revision>4</cp:revision>
  <cp:lastPrinted>2017-10-29T17:08:00Z</cp:lastPrinted>
  <dcterms:created xsi:type="dcterms:W3CDTF">2017-12-07T13:13:00Z</dcterms:created>
  <dcterms:modified xsi:type="dcterms:W3CDTF">2017-12-07T13:18:00Z</dcterms:modified>
</cp:coreProperties>
</file>